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0838" w14:textId="77777777" w:rsidR="003E4011" w:rsidRDefault="009443E5" w:rsidP="006D1977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CAB73D5" wp14:editId="08879357">
            <wp:extent cx="1100137" cy="1257300"/>
            <wp:effectExtent l="0" t="0" r="0" b="0"/>
            <wp:docPr id="1" name="Picture 1" descr="Macintosh HD:Users:andreaibse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ibse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89" cy="12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30D2" w14:textId="77777777" w:rsidR="006D1977" w:rsidRDefault="006D1977"/>
    <w:p w14:paraId="71BCD861" w14:textId="77777777" w:rsidR="009443E5" w:rsidRDefault="009443E5" w:rsidP="009443E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Letter to the Editor – Persuasive Essay</w:t>
      </w:r>
    </w:p>
    <w:p w14:paraId="74C5F73F" w14:textId="77777777" w:rsidR="009443E5" w:rsidRDefault="009443E5" w:rsidP="009443E5">
      <w:pPr>
        <w:jc w:val="center"/>
        <w:rPr>
          <w:rFonts w:ascii="Arial" w:hAnsi="Arial" w:cs="Arial"/>
        </w:rPr>
      </w:pPr>
    </w:p>
    <w:p w14:paraId="69AB2F62" w14:textId="6C4EC20F" w:rsidR="009443E5" w:rsidRDefault="009443E5" w:rsidP="00944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Outline</w:t>
      </w:r>
      <w:r w:rsidR="00F62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Date: </w:t>
      </w:r>
      <w:r w:rsidR="00491D6E">
        <w:rPr>
          <w:rFonts w:ascii="Arial" w:hAnsi="Arial" w:cs="Arial"/>
        </w:rPr>
        <w:t>Wed. Oct 21</w:t>
      </w:r>
      <w:r w:rsidR="0021549B">
        <w:rPr>
          <w:rFonts w:ascii="Arial" w:hAnsi="Arial" w:cs="Arial"/>
        </w:rPr>
        <w:t xml:space="preserve">. </w:t>
      </w:r>
    </w:p>
    <w:p w14:paraId="6745BA69" w14:textId="3F787EB8" w:rsidR="009443E5" w:rsidRDefault="00F62293" w:rsidP="00944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Rough Draft </w:t>
      </w:r>
      <w:r w:rsidR="009443E5">
        <w:rPr>
          <w:rFonts w:ascii="Arial" w:hAnsi="Arial" w:cs="Arial"/>
        </w:rPr>
        <w:t xml:space="preserve">Date: </w:t>
      </w:r>
      <w:r w:rsidR="00491D6E">
        <w:rPr>
          <w:rFonts w:ascii="Arial" w:hAnsi="Arial" w:cs="Arial"/>
        </w:rPr>
        <w:t>Thurs</w:t>
      </w:r>
      <w:r w:rsidR="0021549B">
        <w:rPr>
          <w:rFonts w:ascii="Arial" w:hAnsi="Arial" w:cs="Arial"/>
        </w:rPr>
        <w:t>. Oct. 2</w:t>
      </w:r>
      <w:r w:rsidR="00491D6E">
        <w:rPr>
          <w:rFonts w:ascii="Arial" w:hAnsi="Arial" w:cs="Arial"/>
        </w:rPr>
        <w:t>2</w:t>
      </w:r>
    </w:p>
    <w:p w14:paraId="790D38FD" w14:textId="5C3131CD" w:rsidR="009443E5" w:rsidRDefault="009443E5" w:rsidP="00944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Final Copy Due Date: </w:t>
      </w:r>
      <w:r w:rsidR="00491D6E">
        <w:rPr>
          <w:rFonts w:ascii="Arial" w:hAnsi="Arial" w:cs="Arial"/>
        </w:rPr>
        <w:t>Friday</w:t>
      </w:r>
      <w:r w:rsidR="0021549B">
        <w:rPr>
          <w:rFonts w:ascii="Arial" w:hAnsi="Arial" w:cs="Arial"/>
        </w:rPr>
        <w:t xml:space="preserve"> Oct.</w:t>
      </w:r>
      <w:r w:rsidR="00491D6E">
        <w:rPr>
          <w:rFonts w:ascii="Arial" w:hAnsi="Arial" w:cs="Arial"/>
        </w:rPr>
        <w:t xml:space="preserve"> 23</w:t>
      </w:r>
      <w:r w:rsidR="0021549B">
        <w:rPr>
          <w:rFonts w:ascii="Arial" w:hAnsi="Arial" w:cs="Arial"/>
        </w:rPr>
        <w:t>, End of class</w:t>
      </w:r>
    </w:p>
    <w:p w14:paraId="0B5042DE" w14:textId="77777777" w:rsidR="009443E5" w:rsidRDefault="009443E5" w:rsidP="009443E5">
      <w:pPr>
        <w:jc w:val="center"/>
        <w:rPr>
          <w:rFonts w:ascii="Arial" w:hAnsi="Arial" w:cs="Arial"/>
        </w:rPr>
      </w:pPr>
    </w:p>
    <w:p w14:paraId="2121E2FE" w14:textId="32F4BD43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a one page letter</w:t>
      </w:r>
      <w:r w:rsidR="0021549B">
        <w:rPr>
          <w:rFonts w:ascii="Arial" w:hAnsi="Arial" w:cs="Arial"/>
        </w:rPr>
        <w:t xml:space="preserve"> in response to an Editorial or Op Ed piece from a current Newspaper</w:t>
      </w:r>
      <w:r>
        <w:rPr>
          <w:rFonts w:ascii="Arial" w:hAnsi="Arial" w:cs="Arial"/>
        </w:rPr>
        <w:t>, using the proper format (see notes and examples)</w:t>
      </w:r>
    </w:p>
    <w:p w14:paraId="2C0DE16C" w14:textId="77777777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Your letter should clearly state your opinion and support it with evidence</w:t>
      </w:r>
    </w:p>
    <w:p w14:paraId="2B8DBA16" w14:textId="77777777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You should include a “call to action”</w:t>
      </w:r>
    </w:p>
    <w:p w14:paraId="7728AD43" w14:textId="3DE38A36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letter to the editor will be assessed in the</w:t>
      </w:r>
      <w:r w:rsidR="0021549B">
        <w:rPr>
          <w:rFonts w:ascii="Arial" w:hAnsi="Arial" w:cs="Arial"/>
        </w:rPr>
        <w:t xml:space="preserve"> reading and writing strands</w:t>
      </w:r>
      <w:r>
        <w:rPr>
          <w:rFonts w:ascii="Arial" w:hAnsi="Arial" w:cs="Arial"/>
        </w:rPr>
        <w:t xml:space="preserve"> using the rubric on the reverse.</w:t>
      </w:r>
    </w:p>
    <w:p w14:paraId="6E8BEA48" w14:textId="77777777" w:rsidR="009443E5" w:rsidRDefault="009443E5" w:rsidP="009443E5">
      <w:pPr>
        <w:rPr>
          <w:rFonts w:ascii="Arial" w:hAnsi="Arial" w:cs="Arial"/>
        </w:rPr>
      </w:pPr>
    </w:p>
    <w:p w14:paraId="08A7D19B" w14:textId="77777777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When you submit your final copy, please be sure to include the following:</w:t>
      </w:r>
    </w:p>
    <w:p w14:paraId="2920EE1E" w14:textId="483067C4" w:rsidR="009443E5" w:rsidRDefault="0021549B" w:rsidP="009443E5">
      <w:pPr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Editorial Response  </w:t>
      </w:r>
      <w:r w:rsidR="009443E5">
        <w:rPr>
          <w:rFonts w:ascii="Arial" w:hAnsi="Arial" w:cs="Arial"/>
        </w:rPr>
        <w:t>Outline and other rough work</w:t>
      </w:r>
    </w:p>
    <w:p w14:paraId="6F5BC153" w14:textId="5D167AB9" w:rsidR="009443E5" w:rsidRPr="009A542C" w:rsidRDefault="009443E5" w:rsidP="009443E5">
      <w:pPr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9A542C">
        <w:rPr>
          <w:rFonts w:ascii="Arial" w:hAnsi="Arial" w:cs="Arial"/>
        </w:rPr>
        <w:t>Editor</w:t>
      </w:r>
      <w:r w:rsidR="0021549B">
        <w:rPr>
          <w:rFonts w:ascii="Arial" w:hAnsi="Arial" w:cs="Arial"/>
        </w:rPr>
        <w:t>ial Response</w:t>
      </w:r>
      <w:r w:rsidRPr="009A542C">
        <w:rPr>
          <w:rFonts w:ascii="Arial" w:hAnsi="Arial" w:cs="Arial"/>
        </w:rPr>
        <w:t xml:space="preserve"> Peer Review </w:t>
      </w:r>
      <w:r>
        <w:rPr>
          <w:rFonts w:ascii="Arial" w:hAnsi="Arial" w:cs="Arial"/>
        </w:rPr>
        <w:t>Sheet</w:t>
      </w:r>
    </w:p>
    <w:p w14:paraId="2E14717C" w14:textId="77777777" w:rsidR="009443E5" w:rsidRPr="001C3A07" w:rsidRDefault="009443E5" w:rsidP="009443E5">
      <w:pPr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Final copy of letter – double-spaced, 11 or 12 pt. font</w:t>
      </w:r>
    </w:p>
    <w:p w14:paraId="61525DEA" w14:textId="77777777" w:rsidR="006D1977" w:rsidRDefault="006D1977"/>
    <w:p w14:paraId="2FE9B8DE" w14:textId="77777777" w:rsidR="006D1977" w:rsidRDefault="006D1977"/>
    <w:p w14:paraId="3465F4D7" w14:textId="77777777" w:rsidR="006D1977" w:rsidRDefault="006D1977"/>
    <w:p w14:paraId="466EADED" w14:textId="77777777" w:rsidR="009443E5" w:rsidRDefault="009443E5"/>
    <w:p w14:paraId="1F13446D" w14:textId="77777777" w:rsidR="009443E5" w:rsidRDefault="009443E5"/>
    <w:p w14:paraId="4134CF95" w14:textId="77777777" w:rsidR="009443E5" w:rsidRDefault="009443E5"/>
    <w:p w14:paraId="220C53A2" w14:textId="77777777" w:rsidR="009443E5" w:rsidRDefault="009443E5"/>
    <w:p w14:paraId="4DF132C9" w14:textId="77777777" w:rsidR="009443E5" w:rsidRDefault="009443E5"/>
    <w:p w14:paraId="3936270E" w14:textId="77777777" w:rsidR="009443E5" w:rsidRDefault="009443E5"/>
    <w:p w14:paraId="6D851C59" w14:textId="77777777" w:rsidR="009443E5" w:rsidRDefault="009443E5"/>
    <w:p w14:paraId="269D817D" w14:textId="77777777" w:rsidR="009443E5" w:rsidRDefault="009443E5"/>
    <w:p w14:paraId="037D5555" w14:textId="77777777" w:rsidR="006D1977" w:rsidRDefault="006D1977"/>
    <w:p w14:paraId="7A3F44D7" w14:textId="77777777" w:rsidR="009443E5" w:rsidRDefault="009443E5"/>
    <w:tbl>
      <w:tblPr>
        <w:tblpPr w:leftFromText="180" w:rightFromText="180" w:vertAnchor="page" w:horzAnchor="margin" w:tblpXSpec="center" w:tblpY="1846"/>
        <w:tblW w:w="1054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984"/>
        <w:gridCol w:w="1865"/>
        <w:gridCol w:w="120"/>
        <w:gridCol w:w="1842"/>
        <w:gridCol w:w="2088"/>
      </w:tblGrid>
      <w:tr w:rsidR="00B9407A" w:rsidRPr="00C52A27" w14:paraId="017F7D22" w14:textId="77777777" w:rsidTr="00B9407A"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08ABED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lastRenderedPageBreak/>
              <w:t>Categories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B87D64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50-59% </w:t>
            </w:r>
          </w:p>
          <w:p w14:paraId="6CAF1415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1)</w:t>
            </w:r>
          </w:p>
        </w:tc>
        <w:tc>
          <w:tcPr>
            <w:tcW w:w="198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A250A9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60-69% </w:t>
            </w:r>
          </w:p>
          <w:p w14:paraId="54FD0D94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2)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FECAB9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70-79% </w:t>
            </w:r>
          </w:p>
          <w:p w14:paraId="6BB3DA85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3)</w:t>
            </w:r>
          </w:p>
        </w:tc>
        <w:tc>
          <w:tcPr>
            <w:tcW w:w="20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D30CCF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80-100% </w:t>
            </w:r>
          </w:p>
          <w:p w14:paraId="549F6200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4)</w:t>
            </w:r>
          </w:p>
        </w:tc>
      </w:tr>
      <w:tr w:rsidR="00B9407A" w:rsidRPr="00C52A27" w14:paraId="25F08621" w14:textId="77777777" w:rsidTr="00B9407A">
        <w:tblPrEx>
          <w:tblBorders>
            <w:top w:val="none" w:sz="0" w:space="0" w:color="auto"/>
          </w:tblBorders>
        </w:tblPrEx>
        <w:tc>
          <w:tcPr>
            <w:tcW w:w="10548" w:type="dxa"/>
            <w:gridSpan w:val="6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F040BE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b/>
                <w:bCs/>
                <w:color w:val="484546"/>
              </w:rPr>
              <w:t>Knowledge and Understanding</w:t>
            </w:r>
            <w:r w:rsidRPr="00A3482D">
              <w:rPr>
                <w:rFonts w:ascii="Arial" w:hAnsi="Arial" w:cs="Arial"/>
                <w:color w:val="484546"/>
              </w:rPr>
              <w:t xml:space="preserve"> - Subject-specific content acquired in each course (knowledge), and the comprehension of its meaning and significance (understanding)</w:t>
            </w:r>
          </w:p>
        </w:tc>
      </w:tr>
      <w:tr w:rsidR="00B9407A" w:rsidRPr="00C52A27" w14:paraId="5D4EFDA9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565B72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Reading </w:t>
            </w:r>
          </w:p>
        </w:tc>
        <w:tc>
          <w:tcPr>
            <w:tcW w:w="7899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6FEF021" w14:textId="77777777" w:rsidR="00B9407A" w:rsidRPr="00C52A27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</w:tr>
      <w:tr w:rsidR="00B9407A" w:rsidRPr="00C52A27" w14:paraId="6EF7FEB1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66328F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b/>
                <w:bCs/>
                <w:color w:val="484546"/>
              </w:rPr>
              <w:t>Reading and Understanding of content</w:t>
            </w:r>
          </w:p>
          <w:p w14:paraId="7DAE5C95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>(Fact, opinion, reply balance)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22A8A8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>demonstrates limited reading comprehension</w:t>
            </w:r>
          </w:p>
        </w:tc>
        <w:tc>
          <w:tcPr>
            <w:tcW w:w="18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ACF77E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 xml:space="preserve">demonstrates some </w:t>
            </w:r>
            <w:r>
              <w:rPr>
                <w:rFonts w:ascii="Arial" w:hAnsi="Arial" w:cs="Arial"/>
                <w:color w:val="484546"/>
              </w:rPr>
              <w:t>reading comprehension</w:t>
            </w:r>
          </w:p>
        </w:tc>
        <w:tc>
          <w:tcPr>
            <w:tcW w:w="196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9F7B09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 xml:space="preserve">demonstrates considerable </w:t>
            </w:r>
            <w:r>
              <w:rPr>
                <w:rFonts w:ascii="Arial" w:hAnsi="Arial" w:cs="Arial"/>
                <w:color w:val="484546"/>
              </w:rPr>
              <w:t>reading comprehension</w:t>
            </w:r>
          </w:p>
        </w:tc>
        <w:tc>
          <w:tcPr>
            <w:tcW w:w="20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3FCF14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 xml:space="preserve">demonstrates thorough and insightful </w:t>
            </w:r>
            <w:r>
              <w:rPr>
                <w:rFonts w:ascii="Arial" w:hAnsi="Arial" w:cs="Arial"/>
                <w:color w:val="484546"/>
              </w:rPr>
              <w:t xml:space="preserve"> reading comprehension</w:t>
            </w:r>
          </w:p>
        </w:tc>
      </w:tr>
      <w:tr w:rsidR="00B9407A" w:rsidRPr="00C52A27" w14:paraId="0B6EF2B9" w14:textId="77777777" w:rsidTr="00B9407A">
        <w:tblPrEx>
          <w:tblBorders>
            <w:top w:val="none" w:sz="0" w:space="0" w:color="auto"/>
          </w:tblBorders>
        </w:tblPrEx>
        <w:tc>
          <w:tcPr>
            <w:tcW w:w="10548" w:type="dxa"/>
            <w:gridSpan w:val="6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2B0A1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b/>
                <w:bCs/>
                <w:color w:val="484546"/>
              </w:rPr>
              <w:t>Thinking</w:t>
            </w:r>
            <w:r w:rsidRPr="00A3482D">
              <w:rPr>
                <w:rFonts w:ascii="Arial" w:hAnsi="Arial" w:cs="Arial"/>
                <w:color w:val="484546"/>
              </w:rPr>
              <w:t xml:space="preserve"> - The use of critical and creative thinking skills and/or processes</w:t>
            </w:r>
          </w:p>
        </w:tc>
      </w:tr>
      <w:tr w:rsidR="00B9407A" w:rsidRPr="00C52A27" w14:paraId="3B0885F4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625BB4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>
              <w:rPr>
                <w:rFonts w:ascii="Arial" w:hAnsi="Arial" w:cs="Arial"/>
                <w:color w:val="484546"/>
              </w:rPr>
              <w:t xml:space="preserve">Reading / Writing </w:t>
            </w:r>
          </w:p>
        </w:tc>
        <w:tc>
          <w:tcPr>
            <w:tcW w:w="7899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A64E094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</w:tr>
      <w:tr w:rsidR="00B9407A" w:rsidRPr="00C52A27" w14:paraId="532E1503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07A29A" w14:textId="77777777" w:rsidR="00B9407A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</w:rPr>
            </w:pPr>
            <w:r w:rsidRPr="00B9407A">
              <w:rPr>
                <w:rFonts w:ascii="Arial" w:hAnsi="Arial" w:cs="Arial"/>
                <w:b/>
                <w:bCs/>
                <w:color w:val="484546"/>
              </w:rPr>
              <w:t>Ability to connect read content to personal experience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F5DA4B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B9407A">
              <w:rPr>
                <w:rFonts w:ascii="Arial" w:hAnsi="Arial" w:cs="Arial"/>
                <w:color w:val="484546"/>
              </w:rPr>
              <w:t>Makes poor or basic connections between the text and personal experience to qualify opinion or develop argument</w:t>
            </w:r>
          </w:p>
        </w:tc>
        <w:tc>
          <w:tcPr>
            <w:tcW w:w="198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C43BBF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B9407A">
              <w:rPr>
                <w:rFonts w:ascii="Arial" w:hAnsi="Arial" w:cs="Arial"/>
                <w:color w:val="484546"/>
              </w:rPr>
              <w:t>Makes some connections between the text and personal experience to qualify opinion or develop argument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34F9AE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B9407A">
              <w:rPr>
                <w:rFonts w:ascii="Arial" w:hAnsi="Arial" w:cs="Arial"/>
                <w:color w:val="484546"/>
              </w:rPr>
              <w:t>Makes</w:t>
            </w:r>
            <w:r>
              <w:rPr>
                <w:rFonts w:ascii="Arial" w:hAnsi="Arial" w:cs="Arial"/>
                <w:color w:val="484546"/>
              </w:rPr>
              <w:t xml:space="preserve"> good</w:t>
            </w:r>
            <w:r w:rsidRPr="00B9407A">
              <w:rPr>
                <w:rFonts w:ascii="Arial" w:hAnsi="Arial" w:cs="Arial"/>
                <w:color w:val="484546"/>
              </w:rPr>
              <w:t xml:space="preserve"> connections between the text and personal experience to qualify opinion or develop argument</w:t>
            </w:r>
          </w:p>
        </w:tc>
        <w:tc>
          <w:tcPr>
            <w:tcW w:w="20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5B8C9D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B9407A">
              <w:rPr>
                <w:rFonts w:ascii="Arial" w:hAnsi="Arial" w:cs="Arial"/>
                <w:color w:val="484546"/>
              </w:rPr>
              <w:t xml:space="preserve">Makes </w:t>
            </w:r>
            <w:r>
              <w:rPr>
                <w:rFonts w:ascii="Arial" w:hAnsi="Arial" w:cs="Arial"/>
                <w:color w:val="484546"/>
              </w:rPr>
              <w:t xml:space="preserve">excellent and persuasive connections </w:t>
            </w:r>
            <w:r w:rsidRPr="00B9407A">
              <w:rPr>
                <w:rFonts w:ascii="Arial" w:hAnsi="Arial" w:cs="Arial"/>
                <w:color w:val="484546"/>
              </w:rPr>
              <w:t>between the text and personal experience to qualify opinion or develop argument</w:t>
            </w:r>
          </w:p>
        </w:tc>
      </w:tr>
      <w:tr w:rsidR="00491D6E" w:rsidRPr="00C52A27" w14:paraId="13D86B41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72E7C1" w14:textId="709767D7" w:rsidR="00491D6E" w:rsidRPr="00491D6E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484546"/>
              </w:rPr>
            </w:pPr>
            <w:r w:rsidRPr="00491D6E">
              <w:rPr>
                <w:rFonts w:ascii="Arial" w:hAnsi="Arial" w:cs="Arial"/>
                <w:bCs/>
                <w:color w:val="484546"/>
              </w:rPr>
              <w:t xml:space="preserve">Writing 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3175AF" w14:textId="77777777" w:rsidR="00491D6E" w:rsidRDefault="00491D6E" w:rsidP="00B94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7C989C" w14:textId="77777777" w:rsidR="00491D6E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F77C70" w14:textId="77777777" w:rsidR="00491D6E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  <w:tc>
          <w:tcPr>
            <w:tcW w:w="20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6DBC2A" w14:textId="77777777" w:rsidR="00491D6E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</w:tr>
      <w:tr w:rsidR="00B9407A" w:rsidRPr="00C52A27" w14:paraId="0B198257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DFB94D" w14:textId="46E9EC35" w:rsidR="00B9407A" w:rsidRPr="00A3482D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>
              <w:rPr>
                <w:rFonts w:ascii="Arial" w:hAnsi="Arial" w:cs="Arial"/>
                <w:b/>
                <w:bCs/>
                <w:color w:val="484546"/>
              </w:rPr>
              <w:t>Use of  writing process</w:t>
            </w:r>
            <w:r w:rsidR="00B9407A" w:rsidRPr="00A3482D">
              <w:rPr>
                <w:rFonts w:ascii="Arial" w:hAnsi="Arial" w:cs="Arial"/>
                <w:b/>
                <w:bCs/>
                <w:color w:val="484546"/>
              </w:rPr>
              <w:t xml:space="preserve"> skills</w:t>
            </w:r>
          </w:p>
          <w:p w14:paraId="1E21FC47" w14:textId="5DDA8FDF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>Use of planning structures, research, and rough work on time.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D7ED16" w14:textId="77777777" w:rsidR="00B9407A" w:rsidRDefault="00B9407A" w:rsidP="00B94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</w:rPr>
            </w:pPr>
          </w:p>
          <w:p w14:paraId="2EAF2ECC" w14:textId="09CF777C" w:rsidR="00B9407A" w:rsidRPr="00A3482D" w:rsidRDefault="00B9407A" w:rsidP="0049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</w:rPr>
            </w:pPr>
            <w:r>
              <w:rPr>
                <w:rFonts w:ascii="Arial" w:hAnsi="Arial" w:cs="Arial"/>
                <w:color w:val="484546"/>
              </w:rPr>
              <w:t>U</w:t>
            </w:r>
            <w:r w:rsidRPr="00A3482D">
              <w:rPr>
                <w:rFonts w:ascii="Arial" w:hAnsi="Arial" w:cs="Arial"/>
                <w:color w:val="484546"/>
              </w:rPr>
              <w:t xml:space="preserve">ses </w:t>
            </w:r>
            <w:r w:rsidR="00491D6E">
              <w:rPr>
                <w:rFonts w:ascii="Arial" w:hAnsi="Arial" w:cs="Arial"/>
                <w:color w:val="484546"/>
              </w:rPr>
              <w:t xml:space="preserve">writing process </w:t>
            </w:r>
            <w:r w:rsidRPr="00A3482D">
              <w:rPr>
                <w:rFonts w:ascii="Arial" w:hAnsi="Arial" w:cs="Arial"/>
                <w:color w:val="484546"/>
              </w:rPr>
              <w:t>skills with limited effectiveness</w:t>
            </w:r>
          </w:p>
        </w:tc>
        <w:tc>
          <w:tcPr>
            <w:tcW w:w="198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A31EBB" w14:textId="77777777" w:rsidR="00B9407A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  <w:p w14:paraId="39DE9E83" w14:textId="1043E544" w:rsidR="00B9407A" w:rsidRPr="00A3482D" w:rsidRDefault="00B9407A" w:rsidP="0049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>
              <w:rPr>
                <w:rFonts w:ascii="Arial" w:hAnsi="Arial" w:cs="Arial"/>
                <w:color w:val="484546"/>
              </w:rPr>
              <w:t>U</w:t>
            </w:r>
            <w:r w:rsidRPr="00A3482D">
              <w:rPr>
                <w:rFonts w:ascii="Arial" w:hAnsi="Arial" w:cs="Arial"/>
                <w:color w:val="484546"/>
              </w:rPr>
              <w:t>ses</w:t>
            </w:r>
            <w:r w:rsidR="00491D6E">
              <w:rPr>
                <w:rFonts w:ascii="Arial" w:hAnsi="Arial" w:cs="Arial"/>
                <w:color w:val="484546"/>
              </w:rPr>
              <w:t xml:space="preserve"> writing process </w:t>
            </w:r>
            <w:r w:rsidRPr="00A3482D">
              <w:rPr>
                <w:rFonts w:ascii="Arial" w:hAnsi="Arial" w:cs="Arial"/>
                <w:color w:val="484546"/>
              </w:rPr>
              <w:t>skills with moderate effectiveness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73D25F" w14:textId="77777777" w:rsidR="00B9407A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  <w:p w14:paraId="725A44A0" w14:textId="09D429D6" w:rsidR="00B9407A" w:rsidRPr="00A3482D" w:rsidRDefault="00491D6E" w:rsidP="0049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>
              <w:rPr>
                <w:rFonts w:ascii="Arial" w:hAnsi="Arial" w:cs="Arial"/>
                <w:color w:val="484546"/>
              </w:rPr>
              <w:t>U</w:t>
            </w:r>
            <w:r w:rsidR="00B9407A" w:rsidRPr="00A3482D">
              <w:rPr>
                <w:rFonts w:ascii="Arial" w:hAnsi="Arial" w:cs="Arial"/>
                <w:color w:val="484546"/>
              </w:rPr>
              <w:t xml:space="preserve">ses </w:t>
            </w:r>
            <w:r>
              <w:rPr>
                <w:rFonts w:ascii="Arial" w:hAnsi="Arial" w:cs="Arial"/>
                <w:color w:val="484546"/>
              </w:rPr>
              <w:t xml:space="preserve">writing process </w:t>
            </w:r>
            <w:r w:rsidR="00B9407A" w:rsidRPr="00A3482D">
              <w:rPr>
                <w:rFonts w:ascii="Arial" w:hAnsi="Arial" w:cs="Arial"/>
                <w:color w:val="484546"/>
              </w:rPr>
              <w:t>skills with considerable effectiveness</w:t>
            </w:r>
          </w:p>
        </w:tc>
        <w:tc>
          <w:tcPr>
            <w:tcW w:w="20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079E39" w14:textId="77777777" w:rsidR="00B9407A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  <w:p w14:paraId="1B4D99FF" w14:textId="441FD4C7" w:rsidR="00B9407A" w:rsidRPr="00A3482D" w:rsidRDefault="00B9407A" w:rsidP="00491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 xml:space="preserve">uses </w:t>
            </w:r>
            <w:r w:rsidR="00491D6E">
              <w:rPr>
                <w:rFonts w:ascii="Arial" w:hAnsi="Arial" w:cs="Arial"/>
                <w:color w:val="484546"/>
              </w:rPr>
              <w:t>writing process</w:t>
            </w:r>
            <w:r w:rsidRPr="00A3482D">
              <w:rPr>
                <w:rFonts w:ascii="Arial" w:hAnsi="Arial" w:cs="Arial"/>
                <w:color w:val="484546"/>
              </w:rPr>
              <w:t xml:space="preserve"> skills with a high degree of effectiveness</w:t>
            </w:r>
          </w:p>
        </w:tc>
      </w:tr>
      <w:tr w:rsidR="00B9407A" w:rsidRPr="00C52A27" w14:paraId="4D288CF1" w14:textId="77777777" w:rsidTr="00B9407A">
        <w:tblPrEx>
          <w:tblBorders>
            <w:top w:val="none" w:sz="0" w:space="0" w:color="auto"/>
          </w:tblBorders>
        </w:tblPrEx>
        <w:tc>
          <w:tcPr>
            <w:tcW w:w="10548" w:type="dxa"/>
            <w:gridSpan w:val="6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A9E7A5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b/>
                <w:bCs/>
                <w:color w:val="484546"/>
              </w:rPr>
              <w:t>Communication</w:t>
            </w:r>
            <w:r w:rsidRPr="00A3482D">
              <w:rPr>
                <w:rFonts w:ascii="Arial" w:hAnsi="Arial" w:cs="Arial"/>
                <w:color w:val="484546"/>
              </w:rPr>
              <w:t xml:space="preserve"> - The conveying of meaning through various forms</w:t>
            </w:r>
          </w:p>
        </w:tc>
      </w:tr>
      <w:tr w:rsidR="00B9407A" w:rsidRPr="00C52A27" w14:paraId="49332BD4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B3D7E3" w14:textId="77777777" w:rsidR="00B9407A" w:rsidRPr="00491D6E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491D6E">
              <w:rPr>
                <w:rFonts w:ascii="Arial" w:hAnsi="Arial" w:cs="Arial"/>
                <w:color w:val="484546"/>
              </w:rPr>
              <w:t xml:space="preserve">Writing </w:t>
            </w:r>
          </w:p>
        </w:tc>
        <w:tc>
          <w:tcPr>
            <w:tcW w:w="7899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96DED3E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</w:tr>
      <w:tr w:rsidR="00B9407A" w:rsidRPr="00C52A27" w14:paraId="7008F22F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2548B8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b/>
                <w:bCs/>
                <w:color w:val="484546"/>
              </w:rPr>
              <w:t>Communication for different audiences and purposes</w:t>
            </w:r>
            <w:r w:rsidRPr="00A3482D">
              <w:rPr>
                <w:rFonts w:ascii="Arial" w:hAnsi="Arial" w:cs="Arial"/>
                <w:color w:val="484546"/>
              </w:rPr>
              <w:t xml:space="preserve"> (e.g., use of appropriate style, voice is overly polite while strong and assertive.)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63997A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>communicates for different audiences and purposes with limited effectiveness</w:t>
            </w:r>
          </w:p>
        </w:tc>
        <w:tc>
          <w:tcPr>
            <w:tcW w:w="198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03C6F8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>communicates for different audiences and purposes with some effectiveness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F4F648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>communicates for different audiences and purposes with considerable effectiveness</w:t>
            </w:r>
          </w:p>
        </w:tc>
        <w:tc>
          <w:tcPr>
            <w:tcW w:w="20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98E7FE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>communicates for different audiences and purposes with a high degree of effectiveness</w:t>
            </w:r>
          </w:p>
        </w:tc>
      </w:tr>
      <w:tr w:rsidR="00491D6E" w:rsidRPr="00C52A27" w14:paraId="059BEFD7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5656A4" w14:textId="4A4CCA1F" w:rsidR="00491D6E" w:rsidRPr="00491D6E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484546"/>
              </w:rPr>
            </w:pPr>
            <w:r w:rsidRPr="00491D6E">
              <w:rPr>
                <w:rFonts w:ascii="Arial" w:hAnsi="Arial" w:cs="Arial"/>
                <w:bCs/>
                <w:color w:val="484546"/>
              </w:rPr>
              <w:t xml:space="preserve">Writing 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469CF5" w14:textId="77777777" w:rsidR="00491D6E" w:rsidRPr="00A3482D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003281" w14:textId="77777777" w:rsidR="00491D6E" w:rsidRPr="00A3482D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9E4DFD" w14:textId="77777777" w:rsidR="00491D6E" w:rsidRPr="00A3482D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  <w:tc>
          <w:tcPr>
            <w:tcW w:w="20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22B58F" w14:textId="77777777" w:rsidR="00491D6E" w:rsidRPr="00A3482D" w:rsidRDefault="00491D6E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</w:tr>
      <w:tr w:rsidR="00B9407A" w:rsidRPr="00C52A27" w14:paraId="295E83E1" w14:textId="77777777" w:rsidTr="00B9407A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3FD908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b/>
                <w:bCs/>
                <w:color w:val="484546"/>
              </w:rPr>
              <w:t>Use of conventions</w:t>
            </w:r>
            <w:r w:rsidRPr="00A3482D">
              <w:rPr>
                <w:rFonts w:ascii="Arial" w:hAnsi="Arial" w:cs="Arial"/>
                <w:color w:val="484546"/>
              </w:rPr>
              <w:t xml:space="preserve"> (e.g., grammar, spelling, punctuation, usage), 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75C739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>uses conventions, vocabulary, and terminology of the discipline</w:t>
            </w:r>
            <w:bookmarkStart w:id="0" w:name="_GoBack"/>
            <w:bookmarkEnd w:id="0"/>
            <w:r w:rsidRPr="00A3482D">
              <w:rPr>
                <w:rFonts w:ascii="Arial" w:hAnsi="Arial" w:cs="Arial"/>
                <w:color w:val="484546"/>
              </w:rPr>
              <w:t xml:space="preserve"> with limited effectiveness</w:t>
            </w:r>
          </w:p>
        </w:tc>
        <w:tc>
          <w:tcPr>
            <w:tcW w:w="198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689BD6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>uses conventions, vocabulary, and terminology of the discipline with some effectiveness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2F618C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t xml:space="preserve">uses conventions, vocabulary, and terminology of the discipline with </w:t>
            </w:r>
            <w:r w:rsidRPr="00A3482D">
              <w:rPr>
                <w:rFonts w:ascii="Arial" w:hAnsi="Arial" w:cs="Arial"/>
                <w:color w:val="484546"/>
              </w:rPr>
              <w:lastRenderedPageBreak/>
              <w:t>considerable effectiveness</w:t>
            </w:r>
          </w:p>
        </w:tc>
        <w:tc>
          <w:tcPr>
            <w:tcW w:w="20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BDF4A1" w14:textId="77777777" w:rsidR="00B9407A" w:rsidRPr="00A3482D" w:rsidRDefault="00B9407A" w:rsidP="00B9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A3482D">
              <w:rPr>
                <w:rFonts w:ascii="Arial" w:hAnsi="Arial" w:cs="Arial"/>
                <w:color w:val="484546"/>
              </w:rPr>
              <w:lastRenderedPageBreak/>
              <w:t xml:space="preserve">uses conventions, vocabulary, and terminology of the discipline with a high degree of </w:t>
            </w:r>
            <w:r w:rsidRPr="00A3482D">
              <w:rPr>
                <w:rFonts w:ascii="Arial" w:hAnsi="Arial" w:cs="Arial"/>
                <w:color w:val="484546"/>
              </w:rPr>
              <w:lastRenderedPageBreak/>
              <w:t>effectiveness</w:t>
            </w:r>
          </w:p>
        </w:tc>
      </w:tr>
    </w:tbl>
    <w:p w14:paraId="3F63A486" w14:textId="3659A4A6" w:rsidR="009443E5" w:rsidRDefault="00B9407A">
      <w:r>
        <w:lastRenderedPageBreak/>
        <w:t xml:space="preserve"> </w:t>
      </w:r>
    </w:p>
    <w:sectPr w:rsidR="009443E5" w:rsidSect="00611170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667B3" w14:textId="77777777" w:rsidR="00F62293" w:rsidRDefault="00F62293" w:rsidP="009443E5">
      <w:r>
        <w:separator/>
      </w:r>
    </w:p>
  </w:endnote>
  <w:endnote w:type="continuationSeparator" w:id="0">
    <w:p w14:paraId="465181E0" w14:textId="77777777" w:rsidR="00F62293" w:rsidRDefault="00F62293" w:rsidP="0094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C25E1" w14:textId="77777777" w:rsidR="00F62293" w:rsidRDefault="00F62293" w:rsidP="009443E5">
      <w:r>
        <w:separator/>
      </w:r>
    </w:p>
  </w:footnote>
  <w:footnote w:type="continuationSeparator" w:id="0">
    <w:p w14:paraId="2E654FBD" w14:textId="77777777" w:rsidR="00F62293" w:rsidRDefault="00F62293" w:rsidP="0094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08FA" w14:textId="77777777" w:rsidR="00F62293" w:rsidRDefault="00F62293" w:rsidP="009443E5">
    <w:r>
      <w:t>Name</w:t>
    </w:r>
    <w:proofErr w:type="gramStart"/>
    <w:r>
      <w:t>:_</w:t>
    </w:r>
    <w:proofErr w:type="gramEnd"/>
    <w:r>
      <w:t>_________________________</w:t>
    </w:r>
  </w:p>
  <w:p w14:paraId="29FB6DB6" w14:textId="77777777" w:rsidR="00F62293" w:rsidRDefault="00F62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0E9"/>
    <w:multiLevelType w:val="hybridMultilevel"/>
    <w:tmpl w:val="03FC39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25"/>
    <w:rsid w:val="0021549B"/>
    <w:rsid w:val="003E4011"/>
    <w:rsid w:val="00491D6E"/>
    <w:rsid w:val="00611170"/>
    <w:rsid w:val="006D1977"/>
    <w:rsid w:val="008B75B3"/>
    <w:rsid w:val="008D7981"/>
    <w:rsid w:val="009443E5"/>
    <w:rsid w:val="00A3482D"/>
    <w:rsid w:val="00A37325"/>
    <w:rsid w:val="00B9407A"/>
    <w:rsid w:val="00F62293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98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E5"/>
  </w:style>
  <w:style w:type="paragraph" w:styleId="Footer">
    <w:name w:val="footer"/>
    <w:basedOn w:val="Normal"/>
    <w:link w:val="FooterChar"/>
    <w:uiPriority w:val="99"/>
    <w:unhideWhenUsed/>
    <w:rsid w:val="00944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E5"/>
  </w:style>
  <w:style w:type="paragraph" w:styleId="Footer">
    <w:name w:val="footer"/>
    <w:basedOn w:val="Normal"/>
    <w:link w:val="FooterChar"/>
    <w:uiPriority w:val="99"/>
    <w:unhideWhenUsed/>
    <w:rsid w:val="00944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Trull, Heather</cp:lastModifiedBy>
  <cp:revision>5</cp:revision>
  <cp:lastPrinted>2013-09-24T01:11:00Z</cp:lastPrinted>
  <dcterms:created xsi:type="dcterms:W3CDTF">2015-03-11T15:56:00Z</dcterms:created>
  <dcterms:modified xsi:type="dcterms:W3CDTF">2015-10-20T18:44:00Z</dcterms:modified>
</cp:coreProperties>
</file>